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ascii="宋体" w:hAnsi="宋体"/>
          <w:sz w:val="44"/>
          <w:szCs w:val="44"/>
        </w:rPr>
        <w:t>食用农产品不合格信息表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707"/>
        <w:gridCol w:w="613"/>
        <w:gridCol w:w="1336"/>
        <w:gridCol w:w="1452"/>
        <w:gridCol w:w="567"/>
        <w:gridCol w:w="567"/>
        <w:gridCol w:w="567"/>
        <w:gridCol w:w="1116"/>
        <w:gridCol w:w="568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标称生产企业名称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标称生产企业地址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被抽样单位名称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被抽样单位地址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食品名称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3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商标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生产日期/批号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临江市永顺新世界购物中心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吉林省白山市临江市东嘉花园 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临江市兴隆街慧源水果蔬菜商店 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临江市兴隆街兴隆小区22号楼-050102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2023-08-04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关于部分不合格检验项目的说明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噻虫胺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噻虫胺是一种第二代新烟碱类杀虫剂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依据GB 2763-2021《食品安全国家标准 食品中农药最大残留限量》规定，姜中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噻虫胺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的最大残留限量值为0.2mg/kg。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噻虫胺具有触杀、胃毒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内吸活性。食品中少量的残留不会引起人体急性中毒，但长期食用噻虫胺超标的食品，对人体健康有一定影响。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326D5"/>
    <w:multiLevelType w:val="singleLevel"/>
    <w:tmpl w:val="226326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4E4C1F9B"/>
    <w:rsid w:val="36AC6371"/>
    <w:rsid w:val="4E4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2023-12-11T12:35:00Z</dcterms:created>
  <dc:creator>王小胖</dc:creator>
  <cp:lastModifiedBy>曲明</cp:lastModifiedBy>
  <dcterms:modified xsi:type="dcterms:W3CDTF">2023-12-12T06:50:51Z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7D3FF0AC45D542988C4F1E5EF07D9EAA_13</vt:lpwstr>
  </property>
</Properties>
</file>